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DE" w:rsidRPr="004A2EDE" w:rsidRDefault="004A2EDE" w:rsidP="004A2EDE">
      <w:pPr>
        <w:shd w:val="clear" w:color="auto" w:fill="FFFFFF"/>
        <w:spacing w:before="161" w:after="161" w:line="288" w:lineRule="atLeast"/>
        <w:outlineLvl w:val="0"/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</w:pPr>
      <w:r w:rsidRPr="004A2EDE"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  <w:t>Melyik utasbiztosítást mikor érdemes választani?</w:t>
      </w:r>
    </w:p>
    <w:p w:rsidR="004A2EDE" w:rsidRPr="004A2EDE" w:rsidRDefault="004A2EDE" w:rsidP="004A2E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 biztosítótársaságok egyes termékei, melyek megtalálhatók online utasbiztosítási </w:t>
      </w:r>
      <w:proofErr w:type="gramStart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kalkulátorunkban</w:t>
      </w:r>
      <w:proofErr w:type="gramEnd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, különböző szolgáltatásokat és szolgáltatási limiteket tartalmaznak. Egy szolgáltatásait tekintve egyszerűbb utasbiztosítás természetesen sokkal olcsóbb, mint egy összetettebb, szolgáltatásaiban és a költségek térítésében magasabb biztonságot nyújtó termék. Kérjük, tekintse át példáinkat, segítünk eldönteni, milyen esetekben melyik csomagajánlatot érdemes választani!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662"/>
      </w:tblGrid>
      <w:tr w:rsidR="004A2EDE" w:rsidRPr="004A2EDE" w:rsidTr="004A2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A2EDE" w:rsidRPr="004A2EDE" w:rsidRDefault="004A2EDE" w:rsidP="004A2EDE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4A2EDE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>
                  <wp:extent cx="762000" cy="523875"/>
                  <wp:effectExtent l="0" t="0" r="0" b="9525"/>
                  <wp:docPr id="1" name="Kép 1" descr="http://www.clb.hu/sites/default/files/images/icon_utas_szomszed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b.hu/sites/default/files/images/icon_utas_szomszed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A2EDE" w:rsidRPr="004A2EDE" w:rsidRDefault="004A2EDE" w:rsidP="004A2EDE">
            <w:pPr>
              <w:spacing w:before="199" w:after="199" w:line="288" w:lineRule="atLeast"/>
              <w:outlineLvl w:val="1"/>
              <w:rPr>
                <w:rFonts w:ascii="Arial" w:eastAsia="Times New Roman" w:hAnsi="Arial" w:cs="Arial"/>
                <w:color w:val="4D4D4D"/>
                <w:sz w:val="32"/>
                <w:szCs w:val="32"/>
                <w:lang w:eastAsia="hu-HU"/>
              </w:rPr>
            </w:pPr>
            <w:r w:rsidRPr="004A2EDE">
              <w:rPr>
                <w:rFonts w:ascii="Arial" w:eastAsia="Times New Roman" w:hAnsi="Arial" w:cs="Arial"/>
                <w:color w:val="4D4D4D"/>
                <w:sz w:val="32"/>
                <w:szCs w:val="32"/>
                <w:lang w:eastAsia="hu-HU"/>
              </w:rPr>
              <w:t>Pár napos utazás szomszédos országba</w:t>
            </w:r>
          </w:p>
          <w:p w:rsidR="004A2EDE" w:rsidRPr="004A2EDE" w:rsidRDefault="004A2EDE" w:rsidP="004A2EDE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4A2EDE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Amennyiben úti célunk valamelyik szomszédos ország, és a kint tartózkodásunk nem több két-három napnál, úgy egy egyszerűbb, költségeit tekintve olcsóbb utasbiztosítási termék megvásárlása is elegendő. Ezen termékek mindegyike tartalmazza a betegség és baleset esetén fellépő költségek térítését (átlag 3-5 millió Ft), valamint a poggyászokban esett károkat is enyhítik.</w:t>
            </w:r>
          </w:p>
        </w:tc>
      </w:tr>
    </w:tbl>
    <w:p w:rsidR="004A2EDE" w:rsidRPr="004A2EDE" w:rsidRDefault="004A2EDE" w:rsidP="004A2EDE">
      <w:pPr>
        <w:shd w:val="clear" w:color="auto" w:fill="F5F5F5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4A2EDE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Utazás valamely európai országba</w:t>
      </w:r>
    </w:p>
    <w:p w:rsidR="004A2EDE" w:rsidRPr="004A2EDE" w:rsidRDefault="004A2EDE" w:rsidP="004A2E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Pár napnál hosszabb, európai országba irányuló utazás során érdemes megfontolni a magasabb költségtérítési </w:t>
      </w:r>
      <w:proofErr w:type="gramStart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limiteket</w:t>
      </w:r>
      <w:proofErr w:type="gramEnd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kínáló termékek megvásárlását, amelyek betegség és baleset esetén már akár 20 millió forintos fedezetet is kínálnak, illetve további szolgáltatásokkal (pl. óvadék és ügyvédi költségek) fokozottabb biztonságot nyújtanak.</w:t>
      </w:r>
    </w:p>
    <w:p w:rsidR="00A10E01" w:rsidRDefault="00A10E01"/>
    <w:p w:rsidR="004A2EDE" w:rsidRPr="004A2EDE" w:rsidRDefault="004A2EDE" w:rsidP="004A2EDE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4A2EDE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Utazás Európán kívüli országokba</w:t>
      </w:r>
    </w:p>
    <w:p w:rsidR="004A2EDE" w:rsidRPr="004A2EDE" w:rsidRDefault="004A2EDE" w:rsidP="004A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Hosszabb és Európán kívüli országba történő utazás során érdemes mérlegelni a célország egészségügyi ellátási rendszerét, valamint az ország biztonságát. Ha biztonságosnak ítéljük meg, akkor a közepes szolgáltatásokat nyújtó termékek választása célszerű, azon belül is a nagyobb költségtérítést kínáló módozatok egyikét.</w:t>
      </w:r>
    </w:p>
    <w:p w:rsidR="004A2EDE" w:rsidRDefault="004A2EDE"/>
    <w:p w:rsidR="004A2EDE" w:rsidRPr="004A2EDE" w:rsidRDefault="004A2EDE" w:rsidP="004A2EDE">
      <w:pPr>
        <w:shd w:val="clear" w:color="auto" w:fill="F5F5F5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4A2EDE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Utazás kockázatos biztonságú országokba</w:t>
      </w:r>
    </w:p>
    <w:p w:rsidR="004A2EDE" w:rsidRPr="004A2EDE" w:rsidRDefault="004A2EDE" w:rsidP="004A2E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Közel-keleti országba, különös tekintettel Izraelre, valamint dél-amerikai, távol-keleti és afrikai országokba történő utazás során mindenképpen javasoljuk a legmagasabb költségtérítéseket kínáló, szolgáltatásaikban a legtöbbet nyújtó termékek megvásárlását, valamint - a biztosítástól függetlenül - az elérhető óvintézkedések (pl. védőoltások) megtételét.</w:t>
      </w:r>
    </w:p>
    <w:p w:rsidR="004A2EDE" w:rsidRDefault="004A2EDE"/>
    <w:p w:rsidR="004A2EDE" w:rsidRPr="004A2EDE" w:rsidRDefault="004A2EDE" w:rsidP="004A2EDE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4A2EDE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Utazás és sportolás</w:t>
      </w:r>
    </w:p>
    <w:p w:rsidR="004A2EDE" w:rsidRPr="004A2EDE" w:rsidRDefault="004A2EDE" w:rsidP="004A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 síelésből és </w:t>
      </w:r>
      <w:proofErr w:type="spellStart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snowboardozásból</w:t>
      </w:r>
      <w:proofErr w:type="spellEnd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eredő kockázatokat minden biztosítótársaság minden terméke tartalmazza, ez esetben a választást csak a napok száma és utazásunk úti célja befolyásolhatja. Kiegészítő biztosítás megvásárlásával több biztosító is vállalja többek között a következő extrémsportokat: hobbibúvárkodás (</w:t>
      </w:r>
      <w:proofErr w:type="spellStart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max</w:t>
      </w:r>
      <w:proofErr w:type="spellEnd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. 40 m merülési mélység), rafting, hegymászás, </w:t>
      </w:r>
      <w:proofErr w:type="spellStart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canyoning</w:t>
      </w:r>
      <w:proofErr w:type="spellEnd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, </w:t>
      </w:r>
      <w:proofErr w:type="spellStart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hydro-speed</w:t>
      </w:r>
      <w:proofErr w:type="spellEnd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, </w:t>
      </w:r>
      <w:proofErr w:type="spellStart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quad</w:t>
      </w:r>
      <w:proofErr w:type="spellEnd"/>
      <w:r w:rsidRPr="004A2EDE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, stb.</w:t>
      </w:r>
    </w:p>
    <w:p w:rsidR="004A2EDE" w:rsidRDefault="004A2EDE">
      <w:bookmarkStart w:id="0" w:name="_GoBack"/>
      <w:bookmarkEnd w:id="0"/>
    </w:p>
    <w:sectPr w:rsidR="004A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7A"/>
    <w:rsid w:val="004A2EDE"/>
    <w:rsid w:val="0062187A"/>
    <w:rsid w:val="00A1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6325"/>
  <w15:chartTrackingRefBased/>
  <w15:docId w15:val="{C1E55B27-80D5-4942-B22B-2B63A80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A2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A2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2ED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A2ED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A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2158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2018-07-31T12:12:00Z</dcterms:created>
  <dcterms:modified xsi:type="dcterms:W3CDTF">2018-07-31T12:13:00Z</dcterms:modified>
</cp:coreProperties>
</file>